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DB4" w:rsidRDefault="00000000" w14:paraId="2FD6943D" w14:textId="77777777">
      <w:pPr>
        <w:spacing w:after="160" w:line="259" w:lineRule="auto"/>
        <w:jc w:val="right"/>
        <w:rPr>
          <w:rFonts w:ascii="Calibri" w:hAnsi="Calibri" w:eastAsia="Calibri" w:cs="Calibri"/>
        </w:rPr>
      </w:pPr>
      <w:r>
        <w:rPr>
          <w:rFonts w:ascii="Calibri" w:hAnsi="Calibri" w:eastAsia="Calibri" w:cs="Calibri"/>
          <w:b/>
        </w:rPr>
        <w:t>COMMUNIQUÉ DE PRESSE</w:t>
      </w:r>
    </w:p>
    <w:p w:rsidRPr="0032789B" w:rsidR="00AE1DB4" w:rsidP="0032789B" w:rsidRDefault="00000000" w14:paraId="1A9F2124" w14:textId="2BBB5D15">
      <w:pPr>
        <w:spacing w:after="160" w:line="259" w:lineRule="auto"/>
        <w:jc w:val="right"/>
        <w:rPr>
          <w:rFonts w:ascii="Calibri" w:hAnsi="Calibri" w:eastAsia="Calibri" w:cs="Calibri"/>
          <w:b/>
        </w:rPr>
      </w:pPr>
      <w:r>
        <w:rPr>
          <w:rFonts w:ascii="Calibri" w:hAnsi="Calibri" w:eastAsia="Calibri" w:cs="Calibri"/>
          <w:b/>
        </w:rPr>
        <w:t>Pour diffusion immédiate</w:t>
      </w:r>
    </w:p>
    <w:p w:rsidR="00AE1DB4" w:rsidRDefault="00AE1DB4" w14:paraId="65C73506" w14:textId="77777777">
      <w:pPr>
        <w:jc w:val="right"/>
        <w:rPr>
          <w:u w:val="single"/>
        </w:rPr>
      </w:pPr>
    </w:p>
    <w:p w:rsidR="0032789B" w:rsidRDefault="0032789B" w14:paraId="57F8AA08" w14:textId="77777777">
      <w:pPr>
        <w:jc w:val="right"/>
        <w:rPr>
          <w:u w:val="single"/>
        </w:rPr>
      </w:pPr>
    </w:p>
    <w:p w:rsidR="00AE1DB4" w:rsidP="0032789B" w:rsidRDefault="00000000" w14:paraId="00860973" w14:textId="3E77C7F6">
      <w:pPr>
        <w:jc w:val="center"/>
        <w:rPr>
          <w:rFonts w:ascii="Calibri" w:hAnsi="Calibri" w:eastAsia="Calibri" w:cs="Calibri"/>
          <w:b/>
          <w:sz w:val="26"/>
          <w:szCs w:val="26"/>
        </w:rPr>
      </w:pPr>
      <w:r>
        <w:rPr>
          <w:rFonts w:ascii="Calibri" w:hAnsi="Calibri" w:eastAsia="Calibri" w:cs="Calibri"/>
          <w:b/>
          <w:sz w:val="26"/>
          <w:szCs w:val="26"/>
        </w:rPr>
        <w:t>Le golf dans les Cantons-de-l’Est… proche de votre passion, loin de l’ordinaire</w:t>
      </w:r>
    </w:p>
    <w:p w:rsidRPr="0032789B" w:rsidR="0032789B" w:rsidP="0032789B" w:rsidRDefault="0032789B" w14:paraId="5009B8EF" w14:textId="77777777">
      <w:pPr>
        <w:jc w:val="center"/>
        <w:rPr>
          <w:rFonts w:ascii="Calibri" w:hAnsi="Calibri" w:eastAsia="Calibri" w:cs="Calibri"/>
          <w:b/>
          <w:sz w:val="26"/>
          <w:szCs w:val="26"/>
        </w:rPr>
      </w:pPr>
    </w:p>
    <w:p w:rsidR="00AE1DB4" w:rsidRDefault="00AE1DB4" w14:paraId="31252C89" w14:textId="77777777">
      <w:pPr>
        <w:rPr>
          <w:u w:val="single"/>
        </w:rPr>
      </w:pPr>
    </w:p>
    <w:p w:rsidR="00AE1DB4" w:rsidP="01619E37" w:rsidRDefault="00000000" w14:paraId="7A2A609B" w14:textId="641CF199">
      <w:pPr>
        <w:jc w:val="both"/>
        <w:rPr>
          <w:rFonts w:ascii="Calibri" w:hAnsi="Calibri" w:eastAsia="Calibri" w:cs="Calibri" w:asciiTheme="majorAscii" w:hAnsiTheme="majorAscii" w:cstheme="majorAscii"/>
        </w:rPr>
      </w:pPr>
      <w:r w:rsidRPr="01619E37" w:rsidR="01619E37">
        <w:rPr>
          <w:rFonts w:ascii="Calibri" w:hAnsi="Calibri" w:eastAsia="Calibri" w:cs="Calibri" w:asciiTheme="majorAscii" w:hAnsiTheme="majorAscii" w:cstheme="majorAscii"/>
          <w:b w:val="1"/>
          <w:bCs w:val="1"/>
        </w:rPr>
        <w:t>Sherbrooke, 10 juillet 2024 —</w:t>
      </w:r>
      <w:r w:rsidRPr="01619E37" w:rsidR="01619E37">
        <w:rPr>
          <w:rFonts w:ascii="Calibri" w:hAnsi="Calibri" w:eastAsia="Calibri" w:cs="Calibri" w:asciiTheme="majorAscii" w:hAnsiTheme="majorAscii" w:cstheme="majorAscii"/>
        </w:rPr>
        <w:t xml:space="preserve"> La région des </w:t>
      </w:r>
      <w:proofErr w:type="spellStart"/>
      <w:r w:rsidRPr="01619E37" w:rsidR="01619E37">
        <w:rPr>
          <w:rFonts w:ascii="Calibri" w:hAnsi="Calibri" w:eastAsia="Calibri" w:cs="Calibri" w:asciiTheme="majorAscii" w:hAnsiTheme="majorAscii" w:cstheme="majorAscii"/>
        </w:rPr>
        <w:t>Cantons-de-l’Est</w:t>
      </w:r>
      <w:proofErr w:type="spellEnd"/>
      <w:r w:rsidRPr="01619E37" w:rsidR="01619E37">
        <w:rPr>
          <w:rFonts w:ascii="Calibri" w:hAnsi="Calibri" w:eastAsia="Calibri" w:cs="Calibri" w:asciiTheme="majorAscii" w:hAnsiTheme="majorAscii" w:cstheme="majorAscii"/>
        </w:rPr>
        <w:t xml:space="preserve"> sera l’hôte dans quelques jours de la prestigieuse étape de la tournée nord-américaine du </w:t>
      </w:r>
      <w:hyperlink r:id="Rcb2a3f5d820745be">
        <w:r w:rsidRPr="01619E37" w:rsidR="01619E37">
          <w:rPr>
            <w:rFonts w:ascii="Calibri" w:hAnsi="Calibri" w:eastAsia="Calibri" w:cs="Calibri" w:asciiTheme="majorAscii" w:hAnsiTheme="majorAscii" w:cstheme="majorAscii"/>
            <w:color w:val="1155CC"/>
            <w:u w:val="single"/>
          </w:rPr>
          <w:t>PGA Tour Americas</w:t>
        </w:r>
      </w:hyperlink>
      <w:r w:rsidRPr="01619E37" w:rsidR="01619E37">
        <w:rPr>
          <w:rFonts w:ascii="Calibri" w:hAnsi="Calibri" w:eastAsia="Calibri" w:cs="Calibri" w:asciiTheme="majorAscii" w:hAnsiTheme="majorAscii" w:cstheme="majorAscii"/>
        </w:rPr>
        <w:t xml:space="preserve">, le </w:t>
      </w:r>
      <w:hyperlink r:id="R583ce982eb384060">
        <w:r w:rsidRPr="01619E37" w:rsidR="01619E37">
          <w:rPr>
            <w:rFonts w:ascii="Calibri" w:hAnsi="Calibri" w:eastAsia="Calibri" w:cs="Calibri" w:asciiTheme="majorAscii" w:hAnsiTheme="majorAscii" w:cstheme="majorAscii"/>
            <w:color w:val="1155CC"/>
            <w:u w:val="single"/>
          </w:rPr>
          <w:t>Bromont Open</w:t>
        </w:r>
      </w:hyperlink>
      <w:r w:rsidRPr="01619E37" w:rsidR="01619E37">
        <w:rPr>
          <w:rFonts w:ascii="Calibri" w:hAnsi="Calibri" w:eastAsia="Calibri" w:cs="Calibri" w:asciiTheme="majorAscii" w:hAnsiTheme="majorAscii" w:cstheme="majorAscii"/>
        </w:rPr>
        <w:t>, lequel attirera les meilleurs golfeurs professionnels qui s’affronteront devant grand public sur le parcours du Golf Château-Bromont dans un décor enchanteur. Mais, au-delà des championnats professionnels, la région, forte d’une trentaine de golfs répartie sur son territoire, offre des terrains qui conviennent à tous les niveaux et une expérience après-golf sans pareille.</w:t>
      </w:r>
    </w:p>
    <w:p w:rsidRPr="0032789B" w:rsidR="0032789B" w:rsidRDefault="0032789B" w14:paraId="01BD1338" w14:textId="77777777">
      <w:pPr>
        <w:jc w:val="both"/>
        <w:rPr>
          <w:rFonts w:eastAsia="Calibri" w:asciiTheme="majorHAnsi" w:hAnsiTheme="majorHAnsi" w:cstheme="majorHAnsi"/>
          <w:highlight w:val="white"/>
        </w:rPr>
      </w:pPr>
    </w:p>
    <w:p w:rsidRPr="0032789B" w:rsidR="00AE1DB4" w:rsidRDefault="00AE1DB4" w14:paraId="46C901AC" w14:textId="77777777">
      <w:pPr>
        <w:jc w:val="both"/>
        <w:rPr>
          <w:rFonts w:eastAsia="Calibri" w:asciiTheme="majorHAnsi" w:hAnsiTheme="majorHAnsi" w:cstheme="majorHAnsi"/>
        </w:rPr>
      </w:pPr>
    </w:p>
    <w:p w:rsidRPr="0032789B" w:rsidR="00AE1DB4" w:rsidRDefault="00000000" w14:paraId="2852002C" w14:textId="77777777">
      <w:pPr>
        <w:jc w:val="both"/>
        <w:rPr>
          <w:rFonts w:eastAsia="Calibri" w:asciiTheme="majorHAnsi" w:hAnsiTheme="majorHAnsi" w:cstheme="majorHAnsi"/>
          <w:b/>
        </w:rPr>
      </w:pPr>
      <w:r w:rsidRPr="0032789B">
        <w:rPr>
          <w:rFonts w:eastAsia="Calibri" w:asciiTheme="majorHAnsi" w:hAnsiTheme="majorHAnsi" w:cstheme="majorHAnsi"/>
          <w:b/>
        </w:rPr>
        <w:t>Les Cantons-de-l’Est, une destination prisée par les golfeurs</w:t>
      </w:r>
    </w:p>
    <w:p w:rsidRPr="0032789B" w:rsidR="00AE1DB4" w:rsidRDefault="00AE1DB4" w14:paraId="6CDD65E8" w14:textId="77777777">
      <w:pPr>
        <w:jc w:val="both"/>
        <w:rPr>
          <w:rFonts w:eastAsia="Calibri" w:asciiTheme="majorHAnsi" w:hAnsiTheme="majorHAnsi" w:cstheme="majorHAnsi"/>
          <w:b/>
        </w:rPr>
      </w:pPr>
    </w:p>
    <w:p w:rsidRPr="0032789B" w:rsidR="00AE1DB4" w:rsidRDefault="00000000" w14:paraId="049B71E4" w14:textId="77777777">
      <w:pPr>
        <w:jc w:val="both"/>
        <w:rPr>
          <w:rFonts w:eastAsia="Calibri" w:asciiTheme="majorHAnsi" w:hAnsiTheme="majorHAnsi" w:cstheme="majorHAnsi"/>
        </w:rPr>
      </w:pPr>
      <w:r w:rsidRPr="0032789B">
        <w:rPr>
          <w:rFonts w:eastAsia="Calibri" w:asciiTheme="majorHAnsi" w:hAnsiTheme="majorHAnsi" w:cstheme="majorHAnsi"/>
        </w:rPr>
        <w:t>Au Québec, plus d’un million de personnes sont des joueurs de golf actifs. C’est pourquoi la région se fait un devoir de proposer des lieux pour satisfaire les adeptes de ce sport.</w:t>
      </w:r>
    </w:p>
    <w:p w:rsidRPr="0032789B" w:rsidR="00AE1DB4" w:rsidRDefault="00AE1DB4" w14:paraId="5A6CEE00" w14:textId="77777777">
      <w:pPr>
        <w:jc w:val="both"/>
        <w:rPr>
          <w:rFonts w:eastAsia="Calibri" w:asciiTheme="majorHAnsi" w:hAnsiTheme="majorHAnsi" w:cstheme="majorHAnsi"/>
        </w:rPr>
      </w:pPr>
    </w:p>
    <w:p w:rsidRPr="0032789B" w:rsidR="00AE1DB4" w:rsidP="5CB041AF" w:rsidRDefault="00000000" w14:paraId="1FF35C5B" w14:textId="3CAD35E4">
      <w:pPr>
        <w:jc w:val="both"/>
        <w:rPr>
          <w:rFonts w:ascii="Calibri" w:hAnsi="Calibri" w:eastAsia="Calibri" w:cs="Calibri" w:asciiTheme="majorAscii" w:hAnsiTheme="majorAscii" w:cstheme="majorAscii"/>
          <w:color w:val="231F20"/>
        </w:rPr>
      </w:pPr>
      <w:r w:rsidRPr="01619E37" w:rsidR="01619E37">
        <w:rPr>
          <w:rFonts w:ascii="Calibri" w:hAnsi="Calibri" w:eastAsia="Calibri" w:cs="Calibri" w:asciiTheme="majorAscii" w:hAnsiTheme="majorAscii" w:cstheme="majorAscii"/>
        </w:rPr>
        <w:t>Saviez-vous que la région possède la plus grande concentration de terrains de golf au Québec? Selon les experts,</w:t>
      </w:r>
      <w:r w:rsidRPr="01619E37" w:rsidR="01619E37">
        <w:rPr>
          <w:rFonts w:ascii="Calibri" w:hAnsi="Calibri" w:eastAsia="Calibri" w:cs="Calibri" w:asciiTheme="majorAscii" w:hAnsiTheme="majorAscii" w:cstheme="majorAscii"/>
        </w:rPr>
        <w:t xml:space="preserve"> </w:t>
      </w:r>
      <w:r w:rsidRPr="01619E37" w:rsidR="01619E37">
        <w:rPr>
          <w:rFonts w:ascii="Calibri" w:hAnsi="Calibri" w:eastAsia="Calibri" w:cs="Calibri" w:asciiTheme="majorAscii" w:hAnsiTheme="majorAscii" w:cstheme="majorAscii"/>
        </w:rPr>
        <w:t>l</w:t>
      </w:r>
      <w:r w:rsidRPr="01619E37" w:rsidR="01619E37">
        <w:rPr>
          <w:rFonts w:ascii="Calibri" w:hAnsi="Calibri" w:eastAsia="Calibri" w:cs="Calibri" w:asciiTheme="majorAscii" w:hAnsiTheme="majorAscii" w:cstheme="majorAscii"/>
        </w:rPr>
        <w:t>es Cantons sont sans contredit l’une des meilleures destinations golf de la province.</w:t>
      </w:r>
      <w:r w:rsidRPr="01619E37" w:rsidR="01619E37">
        <w:rPr>
          <w:rFonts w:ascii="Calibri" w:hAnsi="Calibri" w:eastAsia="Calibri" w:cs="Calibri" w:asciiTheme="majorAscii" w:hAnsiTheme="majorAscii" w:cstheme="majorAscii"/>
        </w:rPr>
        <w:t xml:space="preserve"> </w:t>
      </w:r>
      <w:r w:rsidRPr="01619E37" w:rsidR="01619E37">
        <w:rPr>
          <w:rFonts w:ascii="Calibri" w:hAnsi="Calibri" w:eastAsia="Calibri" w:cs="Calibri" w:asciiTheme="majorAscii" w:hAnsiTheme="majorAscii" w:cstheme="majorAscii"/>
        </w:rPr>
        <w:t xml:space="preserve">Il est certain que les paysages, les saveurs, le terroir et l’expérience globale y sont pour quelque chose! Et </w:t>
      </w:r>
      <w:r w:rsidRPr="01619E37" w:rsidR="01619E37">
        <w:rPr>
          <w:rFonts w:ascii="Calibri" w:hAnsi="Calibri" w:eastAsia="Calibri" w:cs="Calibri" w:asciiTheme="majorAscii" w:hAnsiTheme="majorAscii" w:cstheme="majorAscii"/>
          <w:color w:val="231F20"/>
        </w:rPr>
        <w:t xml:space="preserve">les terrains sont diversifiés, spacieux et bien entretenus. </w:t>
      </w:r>
    </w:p>
    <w:p w:rsidRPr="0032789B" w:rsidR="00AE1DB4" w:rsidRDefault="00AE1DB4" w14:paraId="562AC72E" w14:textId="77777777">
      <w:pPr>
        <w:jc w:val="both"/>
        <w:rPr>
          <w:rFonts w:eastAsia="Calibri" w:asciiTheme="majorHAnsi" w:hAnsiTheme="majorHAnsi" w:cstheme="majorHAnsi"/>
        </w:rPr>
      </w:pPr>
    </w:p>
    <w:p w:rsidR="00AE1DB4" w:rsidRDefault="00000000" w14:paraId="42280B6C" w14:textId="77777777">
      <w:pPr>
        <w:jc w:val="both"/>
        <w:rPr>
          <w:rFonts w:eastAsia="Calibri" w:asciiTheme="majorHAnsi" w:hAnsiTheme="majorHAnsi" w:cstheme="majorHAnsi"/>
        </w:rPr>
      </w:pPr>
      <w:r w:rsidRPr="0032789B">
        <w:rPr>
          <w:rFonts w:eastAsia="Calibri" w:asciiTheme="majorHAnsi" w:hAnsiTheme="majorHAnsi" w:cstheme="majorHAnsi"/>
        </w:rPr>
        <w:t xml:space="preserve">Pratiquer le golf dans les Cantons, c’est être entouré de somptueuses montagnes, de vallons verdoyants et de magnifiques lacs. Pour un 9 ou un 18 trous, la région aura certainement le terrain qui convient. Les Cantons-de-l’Est pensent aussi à la relève et aux débutants en offrant plusieurs terrains d’initiation à la pratique du golf. </w:t>
      </w:r>
    </w:p>
    <w:p w:rsidRPr="0032789B" w:rsidR="0032789B" w:rsidRDefault="0032789B" w14:paraId="35390A46" w14:textId="77777777">
      <w:pPr>
        <w:jc w:val="both"/>
        <w:rPr>
          <w:rFonts w:eastAsia="Calibri" w:asciiTheme="majorHAnsi" w:hAnsiTheme="majorHAnsi" w:cstheme="majorHAnsi"/>
        </w:rPr>
      </w:pPr>
    </w:p>
    <w:p w:rsidRPr="0032789B" w:rsidR="00AE1DB4" w:rsidRDefault="00AE1DB4" w14:paraId="154B14AA" w14:textId="77777777">
      <w:pPr>
        <w:jc w:val="both"/>
        <w:rPr>
          <w:rFonts w:eastAsia="Calibri" w:asciiTheme="majorHAnsi" w:hAnsiTheme="majorHAnsi" w:cstheme="majorHAnsi"/>
        </w:rPr>
      </w:pPr>
    </w:p>
    <w:p w:rsidRPr="0032789B" w:rsidR="00AE1DB4" w:rsidRDefault="00000000" w14:paraId="7C647CD8" w14:textId="77777777">
      <w:pPr>
        <w:jc w:val="both"/>
        <w:rPr>
          <w:rFonts w:eastAsia="Calibri" w:asciiTheme="majorHAnsi" w:hAnsiTheme="majorHAnsi" w:cstheme="majorHAnsi"/>
        </w:rPr>
      </w:pPr>
      <w:r w:rsidRPr="0032789B">
        <w:rPr>
          <w:rFonts w:eastAsia="Calibri" w:asciiTheme="majorHAnsi" w:hAnsiTheme="majorHAnsi" w:cstheme="majorHAnsi"/>
          <w:b/>
        </w:rPr>
        <w:t>Des événements d’envergure à venir</w:t>
      </w:r>
    </w:p>
    <w:p w:rsidRPr="0032789B" w:rsidR="00AE1DB4" w:rsidRDefault="00AE1DB4" w14:paraId="3616686D" w14:textId="77777777">
      <w:pPr>
        <w:jc w:val="both"/>
        <w:rPr>
          <w:rFonts w:eastAsia="Calibri" w:asciiTheme="majorHAnsi" w:hAnsiTheme="majorHAnsi" w:cstheme="majorHAnsi"/>
        </w:rPr>
      </w:pPr>
    </w:p>
    <w:p w:rsidRPr="0032789B" w:rsidR="00AE1DB4" w:rsidP="04BC4174" w:rsidRDefault="00000000" w14:paraId="14B0DE1D" w14:textId="46B2DCE7">
      <w:pPr>
        <w:jc w:val="both"/>
        <w:rPr>
          <w:rFonts w:ascii="Calibri" w:hAnsi="Calibri" w:eastAsia="Calibri" w:cs="Calibri" w:asciiTheme="majorAscii" w:hAnsiTheme="majorAscii" w:cstheme="majorAscii"/>
        </w:rPr>
      </w:pPr>
      <w:r w:rsidRPr="01619E37" w:rsidR="01619E37">
        <w:rPr>
          <w:rFonts w:ascii="Calibri" w:hAnsi="Calibri" w:eastAsia="Calibri" w:cs="Calibri" w:asciiTheme="majorAscii" w:hAnsiTheme="majorAscii" w:cstheme="majorAscii"/>
        </w:rPr>
        <w:t xml:space="preserve">Du 15 au 21 juillet </w:t>
      </w:r>
      <w:r w:rsidRPr="01619E37" w:rsidR="01619E37">
        <w:rPr>
          <w:rFonts w:ascii="Calibri" w:hAnsi="Calibri" w:eastAsia="Calibri" w:cs="Calibri" w:asciiTheme="majorAscii" w:hAnsiTheme="majorAscii" w:cstheme="majorAscii"/>
        </w:rPr>
        <w:t xml:space="preserve">aura lieu </w:t>
      </w:r>
      <w:r w:rsidRPr="01619E37" w:rsidR="01619E37">
        <w:rPr>
          <w:rFonts w:ascii="Calibri" w:hAnsi="Calibri" w:eastAsia="Calibri" w:cs="Calibri" w:asciiTheme="majorAscii" w:hAnsiTheme="majorAscii" w:cstheme="majorAscii"/>
          <w:i w:val="1"/>
          <w:iCs w:val="1"/>
        </w:rPr>
        <w:t xml:space="preserve">le </w:t>
      </w:r>
      <w:r w:rsidRPr="01619E37" w:rsidR="01619E37">
        <w:rPr>
          <w:rFonts w:ascii="Calibri" w:hAnsi="Calibri" w:eastAsia="Calibri" w:cs="Calibri" w:asciiTheme="majorAscii" w:hAnsiTheme="majorAscii" w:cstheme="majorAscii"/>
          <w:b w:val="1"/>
          <w:bCs w:val="1"/>
          <w:i w:val="1"/>
          <w:iCs w:val="1"/>
        </w:rPr>
        <w:t>Bromont Open</w:t>
      </w:r>
      <w:r w:rsidRPr="01619E37" w:rsidR="01619E37">
        <w:rPr>
          <w:rFonts w:ascii="Calibri" w:hAnsi="Calibri" w:eastAsia="Calibri" w:cs="Calibri" w:asciiTheme="majorAscii" w:hAnsiTheme="majorAscii" w:cstheme="majorAscii"/>
          <w:b w:val="1"/>
          <w:bCs w:val="1"/>
        </w:rPr>
        <w:t>,</w:t>
      </w:r>
      <w:r w:rsidRPr="01619E37" w:rsidR="01619E37">
        <w:rPr>
          <w:rFonts w:ascii="Calibri" w:hAnsi="Calibri" w:eastAsia="Calibri" w:cs="Calibri" w:asciiTheme="majorAscii" w:hAnsiTheme="majorAscii" w:cstheme="majorAscii"/>
        </w:rPr>
        <w:t xml:space="preserve"> l’une des 16 compétitions internationales sélectionnées pour offrir aux meilleurs golfeurs professionnels du monde entier une chance d’accéder </w:t>
      </w:r>
      <w:r w:rsidRPr="01619E37" w:rsidR="01619E37">
        <w:rPr>
          <w:rFonts w:ascii="Calibri" w:hAnsi="Calibri" w:eastAsia="Calibri" w:cs="Calibri" w:asciiTheme="majorAscii" w:hAnsiTheme="majorAscii" w:cstheme="majorAscii"/>
        </w:rPr>
        <w:t>à l’élite du golf mondiale du</w:t>
      </w:r>
      <w:r w:rsidRPr="01619E37" w:rsidR="01619E37">
        <w:rPr>
          <w:rFonts w:ascii="Calibri" w:hAnsi="Calibri" w:eastAsia="Calibri" w:cs="Calibri" w:asciiTheme="majorAscii" w:hAnsiTheme="majorAscii" w:cstheme="majorAscii"/>
        </w:rPr>
        <w:t xml:space="preserve"> PGA Tour. L’événement se déroulera devant grand public sur le parcours du </w:t>
      </w:r>
      <w:hyperlink r:id="Rc2619b45f13b42ec">
        <w:r w:rsidRPr="01619E37" w:rsidR="01619E37">
          <w:rPr>
            <w:rFonts w:ascii="Calibri" w:hAnsi="Calibri" w:eastAsia="Calibri" w:cs="Calibri" w:asciiTheme="majorAscii" w:hAnsiTheme="majorAscii" w:cstheme="majorAscii"/>
            <w:color w:val="1155CC"/>
            <w:u w:val="single"/>
          </w:rPr>
          <w:t>Golf Château-Bromont</w:t>
        </w:r>
      </w:hyperlink>
      <w:r w:rsidRPr="01619E37" w:rsidR="01619E37">
        <w:rPr>
          <w:rFonts w:ascii="Calibri" w:hAnsi="Calibri" w:eastAsia="Calibri" w:cs="Calibri" w:asciiTheme="majorAscii" w:hAnsiTheme="majorAscii" w:cstheme="majorAscii"/>
        </w:rPr>
        <w:t xml:space="preserve"> </w:t>
      </w:r>
      <w:proofErr w:type="gramStart"/>
      <w:r w:rsidRPr="01619E37" w:rsidR="01619E37">
        <w:rPr>
          <w:rFonts w:ascii="Calibri" w:hAnsi="Calibri" w:eastAsia="Calibri" w:cs="Calibri" w:asciiTheme="majorAscii" w:hAnsiTheme="majorAscii" w:cstheme="majorAscii"/>
        </w:rPr>
        <w:t>et</w:t>
      </w:r>
      <w:proofErr w:type="gramEnd"/>
      <w:r w:rsidRPr="01619E37" w:rsidR="01619E37">
        <w:rPr>
          <w:rFonts w:ascii="Calibri" w:hAnsi="Calibri" w:eastAsia="Calibri" w:cs="Calibri" w:asciiTheme="majorAscii" w:hAnsiTheme="majorAscii" w:cstheme="majorAscii"/>
        </w:rPr>
        <w:t xml:space="preserve"> a</w:t>
      </w:r>
      <w:r w:rsidRPr="01619E37" w:rsidR="01619E37">
        <w:rPr>
          <w:rFonts w:ascii="Calibri" w:hAnsi="Calibri" w:eastAsia="Calibri" w:cs="Calibri" w:asciiTheme="majorAscii" w:hAnsiTheme="majorAscii" w:cstheme="majorAscii"/>
        </w:rPr>
        <w:t xml:space="preserve"> pour objectif de soutenir différentes causes sociales essentielles pour la région. Le Centre de pédiatrie sociale de la Haute-Yamaska, la Fondation Au Diapason, la Fondation Christian Vachon et la Fondation des Sports Adaptés bénéficieront des fonds levés lors de cet événement.</w:t>
      </w:r>
    </w:p>
    <w:p w:rsidRPr="0032789B" w:rsidR="00AE1DB4" w:rsidRDefault="00AE1DB4" w14:paraId="6045C112" w14:textId="77777777">
      <w:pPr>
        <w:jc w:val="both"/>
        <w:rPr>
          <w:rFonts w:eastAsia="Calibri" w:asciiTheme="majorHAnsi" w:hAnsiTheme="majorHAnsi" w:cstheme="majorHAnsi"/>
        </w:rPr>
      </w:pPr>
    </w:p>
    <w:p w:rsidRPr="0032789B" w:rsidR="00AE1DB4" w:rsidP="5CB041AF" w:rsidRDefault="00000000" w14:paraId="6F0CB4C4" w14:textId="763B46DE">
      <w:pPr>
        <w:jc w:val="both"/>
        <w:rPr>
          <w:rFonts w:ascii="Calibri" w:hAnsi="Calibri" w:eastAsia="Calibri" w:cs="Calibri" w:asciiTheme="majorAscii" w:hAnsiTheme="majorAscii" w:cstheme="majorAscii"/>
        </w:rPr>
      </w:pPr>
      <w:r w:rsidRPr="01619E37" w:rsidR="01619E37">
        <w:rPr>
          <w:rFonts w:ascii="Calibri" w:hAnsi="Calibri" w:eastAsia="Calibri" w:cs="Calibri" w:asciiTheme="majorAscii" w:hAnsiTheme="majorAscii" w:cstheme="majorAscii"/>
        </w:rPr>
        <w:t>Par ailleurs, du 29 juillet au 1</w:t>
      </w:r>
      <w:r w:rsidRPr="01619E37" w:rsidR="01619E37">
        <w:rPr>
          <w:rFonts w:ascii="Calibri" w:hAnsi="Calibri" w:eastAsia="Calibri" w:cs="Calibri" w:asciiTheme="majorAscii" w:hAnsiTheme="majorAscii" w:cstheme="majorAscii"/>
          <w:vertAlign w:val="superscript"/>
        </w:rPr>
        <w:t>er </w:t>
      </w:r>
      <w:r w:rsidRPr="01619E37" w:rsidR="01619E37">
        <w:rPr>
          <w:rFonts w:ascii="Calibri" w:hAnsi="Calibri" w:eastAsia="Calibri" w:cs="Calibri" w:asciiTheme="majorAscii" w:hAnsiTheme="majorAscii" w:cstheme="majorAscii"/>
        </w:rPr>
        <w:t>août prochain, le</w:t>
      </w:r>
      <w:r w:rsidRPr="01619E37" w:rsidR="01619E37">
        <w:rPr>
          <w:rFonts w:ascii="Calibri" w:hAnsi="Calibri" w:eastAsia="Calibri" w:cs="Calibri" w:asciiTheme="majorAscii" w:hAnsiTheme="majorAscii" w:cstheme="majorAscii"/>
        </w:rPr>
        <w:t xml:space="preserve"> </w:t>
      </w:r>
      <w:hyperlink r:id="R6bae32d996a5430e">
        <w:r w:rsidRPr="01619E37" w:rsidR="01619E37">
          <w:rPr>
            <w:rStyle w:val="Lienhypertexte"/>
            <w:rFonts w:ascii="Calibri" w:hAnsi="Calibri" w:eastAsia="Calibri" w:cs="Calibri" w:asciiTheme="majorAscii" w:hAnsiTheme="majorAscii" w:cstheme="majorAscii"/>
          </w:rPr>
          <w:t>Parcours du Vieux Village</w:t>
        </w:r>
      </w:hyperlink>
      <w:r w:rsidRPr="01619E37" w:rsidR="01619E37">
        <w:rPr>
          <w:rFonts w:ascii="Calibri" w:hAnsi="Calibri" w:eastAsia="Calibri" w:cs="Calibri" w:asciiTheme="majorAscii" w:hAnsiTheme="majorAscii" w:cstheme="majorAscii"/>
        </w:rPr>
        <w:t xml:space="preserve"> </w:t>
      </w:r>
      <w:r w:rsidRPr="01619E37" w:rsidR="01619E37">
        <w:rPr>
          <w:rFonts w:ascii="Calibri" w:hAnsi="Calibri" w:eastAsia="Calibri" w:cs="Calibri" w:asciiTheme="majorAscii" w:hAnsiTheme="majorAscii" w:cstheme="majorAscii"/>
        </w:rPr>
        <w:t>de</w:t>
      </w:r>
      <w:r w:rsidRPr="01619E37" w:rsidR="01619E37">
        <w:rPr>
          <w:rFonts w:ascii="Calibri" w:hAnsi="Calibri" w:eastAsia="Calibri" w:cs="Calibri" w:asciiTheme="majorAscii" w:hAnsiTheme="majorAscii" w:cstheme="majorAscii"/>
        </w:rPr>
        <w:t xml:space="preserve"> Bromont accueillera les meilleurs golfeurs de 50 ans et plus dans le cadre du </w:t>
      </w:r>
      <w:r w:rsidRPr="01619E37" w:rsidR="01619E37">
        <w:rPr>
          <w:rFonts w:ascii="Calibri" w:hAnsi="Calibri" w:eastAsia="Calibri" w:cs="Calibri" w:asciiTheme="majorAscii" w:hAnsiTheme="majorAscii" w:cstheme="majorAscii"/>
          <w:b w:val="1"/>
          <w:bCs w:val="1"/>
          <w:i w:val="1"/>
          <w:iCs w:val="1"/>
        </w:rPr>
        <w:t>Championnat senior de la PGA du Canada</w:t>
      </w:r>
      <w:r w:rsidRPr="01619E37" w:rsidR="01619E37">
        <w:rPr>
          <w:rFonts w:ascii="Calibri" w:hAnsi="Calibri" w:eastAsia="Calibri" w:cs="Calibri" w:asciiTheme="majorAscii" w:hAnsiTheme="majorAscii" w:cstheme="majorAscii"/>
        </w:rPr>
        <w:t xml:space="preserve">. L’endroit que plusieurs appellent « Le trésor caché des </w:t>
      </w:r>
      <w:r w:rsidRPr="01619E37" w:rsidR="01619E37">
        <w:rPr>
          <w:rFonts w:ascii="Calibri" w:hAnsi="Calibri" w:eastAsia="Calibri" w:cs="Calibri" w:asciiTheme="majorAscii" w:hAnsiTheme="majorAscii" w:cstheme="majorAscii"/>
        </w:rPr>
        <w:t>Cantons-de-l’Est</w:t>
      </w:r>
      <w:r w:rsidRPr="01619E37" w:rsidR="01619E37">
        <w:rPr>
          <w:rFonts w:ascii="Calibri" w:hAnsi="Calibri" w:eastAsia="Calibri" w:cs="Calibri" w:asciiTheme="majorAscii" w:hAnsiTheme="majorAscii" w:cstheme="majorAscii"/>
        </w:rPr>
        <w:t> » offre un 18 trous à normale 72.</w:t>
      </w:r>
    </w:p>
    <w:p w:rsidRPr="0032789B" w:rsidR="00AE1DB4" w:rsidRDefault="00AE1DB4" w14:paraId="557FAC40" w14:textId="77777777">
      <w:pPr>
        <w:jc w:val="both"/>
        <w:rPr>
          <w:rFonts w:eastAsia="Calibri" w:asciiTheme="majorHAnsi" w:hAnsiTheme="majorHAnsi" w:cstheme="majorHAnsi"/>
        </w:rPr>
      </w:pPr>
    </w:p>
    <w:p w:rsidRPr="0032789B" w:rsidR="00AE1DB4" w:rsidRDefault="00000000" w14:paraId="1E000691" w14:textId="77777777">
      <w:pPr>
        <w:jc w:val="both"/>
        <w:rPr>
          <w:rFonts w:eastAsia="Calibri" w:asciiTheme="majorHAnsi" w:hAnsiTheme="majorHAnsi" w:cstheme="majorHAnsi"/>
        </w:rPr>
      </w:pPr>
      <w:r w:rsidRPr="0032789B">
        <w:rPr>
          <w:rFonts w:eastAsia="Calibri" w:asciiTheme="majorHAnsi" w:hAnsiTheme="majorHAnsi" w:cstheme="majorHAnsi"/>
        </w:rPr>
        <w:t xml:space="preserve">La région sera aussi l’hôte du </w:t>
      </w:r>
      <w:r w:rsidRPr="0032789B">
        <w:rPr>
          <w:rFonts w:eastAsia="Calibri" w:asciiTheme="majorHAnsi" w:hAnsiTheme="majorHAnsi" w:cstheme="majorHAnsi"/>
          <w:b/>
          <w:i/>
        </w:rPr>
        <w:t>Rendez-vous de l’industrie</w:t>
      </w:r>
      <w:r w:rsidRPr="0032789B">
        <w:rPr>
          <w:rFonts w:eastAsia="Calibri" w:asciiTheme="majorHAnsi" w:hAnsiTheme="majorHAnsi" w:cstheme="majorHAnsi"/>
        </w:rPr>
        <w:t>, un tournoi de golf agrémenté de tournées gourmandes organisé par Tourisme Montréal, en partenariat avec YUL — Aéroport International Montréal-Trudeau ainsi que le Casino de Montréal de Loto-Québec, Tourisme Montérégie et Tourisme Cantons-de-l’Est. Cet événement incontournable de l’industrie touristique au profit de la Fondation Alliance pour la Relève se déroulera au Domaine du Château-Bromont le 29 août prochain.</w:t>
      </w:r>
    </w:p>
    <w:p w:rsidRPr="0032789B" w:rsidR="0032789B" w:rsidRDefault="0032789B" w14:paraId="44DA86EC" w14:textId="77777777">
      <w:pPr>
        <w:jc w:val="both"/>
        <w:rPr>
          <w:rFonts w:eastAsia="Calibri" w:asciiTheme="majorHAnsi" w:hAnsiTheme="majorHAnsi" w:cstheme="majorHAnsi"/>
        </w:rPr>
      </w:pPr>
    </w:p>
    <w:p w:rsidRPr="0032789B" w:rsidR="00AE1DB4" w:rsidRDefault="00AE1DB4" w14:paraId="3CB659FE" w14:textId="77777777">
      <w:pPr>
        <w:jc w:val="both"/>
        <w:rPr>
          <w:rFonts w:eastAsia="Calibri" w:asciiTheme="majorHAnsi" w:hAnsiTheme="majorHAnsi" w:cstheme="majorHAnsi"/>
        </w:rPr>
      </w:pPr>
    </w:p>
    <w:p w:rsidRPr="0032789B" w:rsidR="00AE1DB4" w:rsidRDefault="00000000" w14:paraId="3AA73FF0" w14:textId="77777777">
      <w:pPr>
        <w:jc w:val="both"/>
        <w:rPr>
          <w:rFonts w:eastAsia="Calibri" w:asciiTheme="majorHAnsi" w:hAnsiTheme="majorHAnsi" w:cstheme="majorHAnsi"/>
          <w:b/>
        </w:rPr>
      </w:pPr>
      <w:r w:rsidRPr="0032789B">
        <w:rPr>
          <w:rFonts w:eastAsia="Calibri" w:asciiTheme="majorHAnsi" w:hAnsiTheme="majorHAnsi" w:cstheme="majorHAnsi"/>
          <w:b/>
        </w:rPr>
        <w:t>Le golf, puis l’après-golf</w:t>
      </w:r>
    </w:p>
    <w:p w:rsidRPr="0032789B" w:rsidR="00AE1DB4" w:rsidRDefault="00AE1DB4" w14:paraId="3D4CABC9" w14:textId="77777777">
      <w:pPr>
        <w:jc w:val="both"/>
        <w:rPr>
          <w:rFonts w:eastAsia="Calibri" w:asciiTheme="majorHAnsi" w:hAnsiTheme="majorHAnsi" w:cstheme="majorHAnsi"/>
        </w:rPr>
      </w:pPr>
    </w:p>
    <w:p w:rsidRPr="0032789B" w:rsidR="00AE1DB4" w:rsidRDefault="00000000" w14:paraId="41671071" w14:textId="2C3C458B">
      <w:pPr>
        <w:jc w:val="both"/>
        <w:rPr>
          <w:rFonts w:eastAsia="Calibri" w:asciiTheme="majorHAnsi" w:hAnsiTheme="majorHAnsi" w:cstheme="majorHAnsi"/>
        </w:rPr>
      </w:pPr>
      <w:r w:rsidRPr="0032789B">
        <w:rPr>
          <w:rFonts w:eastAsia="Calibri" w:asciiTheme="majorHAnsi" w:hAnsiTheme="majorHAnsi" w:cstheme="majorHAnsi"/>
        </w:rPr>
        <w:t xml:space="preserve">L’après-golf fait partie intégrante de l’expérience dans les Cantons-de-l’Est. Après une journée passée sur le vert, rien de tel que de s’offrir un bon repas dans l’un des nombreux restaurants de la région où les visiteurs sont assurés de bien boire et de bien manger. En ayant exercé ses coups durant plusieurs heures, non seulement le corps sera satisfait, mais les papilles gustatives aussi. Que ce soit à Magog au </w:t>
      </w:r>
      <w:hyperlink r:id="rId11">
        <w:r w:rsidRPr="0032789B">
          <w:rPr>
            <w:rFonts w:eastAsia="Calibri" w:asciiTheme="majorHAnsi" w:hAnsiTheme="majorHAnsi" w:cstheme="majorHAnsi"/>
            <w:color w:val="1155CC"/>
            <w:u w:val="single"/>
          </w:rPr>
          <w:t>Bistro 4 Saisons</w:t>
        </w:r>
      </w:hyperlink>
      <w:r w:rsidRPr="0032789B">
        <w:rPr>
          <w:rFonts w:eastAsia="Calibri" w:asciiTheme="majorHAnsi" w:hAnsiTheme="majorHAnsi" w:cstheme="majorHAnsi"/>
        </w:rPr>
        <w:t xml:space="preserve">, à Sherbrooke au restaurant </w:t>
      </w:r>
      <w:hyperlink r:id="rId12">
        <w:r w:rsidRPr="0032789B">
          <w:rPr>
            <w:rFonts w:eastAsia="Calibri" w:asciiTheme="majorHAnsi" w:hAnsiTheme="majorHAnsi" w:cstheme="majorHAnsi"/>
            <w:color w:val="1155CC"/>
            <w:u w:val="single"/>
          </w:rPr>
          <w:t>Auguste</w:t>
        </w:r>
      </w:hyperlink>
      <w:r w:rsidRPr="0032789B">
        <w:rPr>
          <w:rFonts w:eastAsia="Calibri" w:asciiTheme="majorHAnsi" w:hAnsiTheme="majorHAnsi" w:cstheme="majorHAnsi"/>
        </w:rPr>
        <w:t xml:space="preserve"> ou encore au </w:t>
      </w:r>
      <w:hyperlink r:id="rId13">
        <w:r w:rsidRPr="0032789B">
          <w:rPr>
            <w:rFonts w:eastAsia="Calibri" w:asciiTheme="majorHAnsi" w:hAnsiTheme="majorHAnsi" w:cstheme="majorHAnsi"/>
            <w:color w:val="1155CC"/>
            <w:u w:val="single"/>
          </w:rPr>
          <w:t xml:space="preserve">Bistro </w:t>
        </w:r>
        <w:proofErr w:type="spellStart"/>
        <w:r w:rsidRPr="0032789B">
          <w:rPr>
            <w:rFonts w:eastAsia="Calibri" w:asciiTheme="majorHAnsi" w:hAnsiTheme="majorHAnsi" w:cstheme="majorHAnsi"/>
            <w:color w:val="1155CC"/>
            <w:u w:val="single"/>
          </w:rPr>
          <w:t>Kapzak</w:t>
        </w:r>
        <w:proofErr w:type="spellEnd"/>
      </w:hyperlink>
      <w:r w:rsidRPr="0032789B">
        <w:rPr>
          <w:rFonts w:eastAsia="Calibri" w:asciiTheme="majorHAnsi" w:hAnsiTheme="majorHAnsi" w:cstheme="majorHAnsi"/>
        </w:rPr>
        <w:t xml:space="preserve"> à Granby, chaque région propose des arrêts gourmands pour se gâter.</w:t>
      </w:r>
    </w:p>
    <w:p w:rsidRPr="0032789B" w:rsidR="00AE1DB4" w:rsidRDefault="00AE1DB4" w14:paraId="29EE9166" w14:textId="77777777">
      <w:pPr>
        <w:jc w:val="both"/>
        <w:rPr>
          <w:rFonts w:eastAsia="Calibri" w:asciiTheme="majorHAnsi" w:hAnsiTheme="majorHAnsi" w:cstheme="majorHAnsi"/>
        </w:rPr>
      </w:pPr>
    </w:p>
    <w:p w:rsidRPr="0032789B" w:rsidR="00AE1DB4" w:rsidRDefault="00000000" w14:paraId="404CC16F" w14:textId="77777777">
      <w:pPr>
        <w:jc w:val="both"/>
        <w:rPr>
          <w:rFonts w:eastAsia="Calibri" w:asciiTheme="majorHAnsi" w:hAnsiTheme="majorHAnsi" w:cstheme="majorHAnsi"/>
        </w:rPr>
      </w:pPr>
      <w:r w:rsidRPr="0032789B">
        <w:rPr>
          <w:rFonts w:eastAsia="Calibri" w:asciiTheme="majorHAnsi" w:hAnsiTheme="majorHAnsi" w:cstheme="majorHAnsi"/>
        </w:rPr>
        <w:t xml:space="preserve">Les magnifiques terrasses de la région sont aussi toutes désignées pour étancher sa soif dans l’une des microbrasseries de la région ou dans l’un des nombreux vignobles, dont plusieurs se trouvent sur la réputée </w:t>
      </w:r>
      <w:hyperlink r:id="rId14">
        <w:r w:rsidRPr="0032789B">
          <w:rPr>
            <w:rFonts w:eastAsia="Calibri" w:asciiTheme="majorHAnsi" w:hAnsiTheme="majorHAnsi" w:cstheme="majorHAnsi"/>
            <w:color w:val="1155CC"/>
            <w:u w:val="single"/>
          </w:rPr>
          <w:t>Route des vins de Brome-Missisquoi</w:t>
        </w:r>
      </w:hyperlink>
      <w:r w:rsidRPr="0032789B">
        <w:rPr>
          <w:rFonts w:eastAsia="Calibri" w:asciiTheme="majorHAnsi" w:hAnsiTheme="majorHAnsi" w:cstheme="majorHAnsi"/>
        </w:rPr>
        <w:t xml:space="preserve">. Le regroupement </w:t>
      </w:r>
      <w:hyperlink r:id="rId15">
        <w:r w:rsidRPr="0032789B">
          <w:rPr>
            <w:rFonts w:eastAsia="Calibri" w:asciiTheme="majorHAnsi" w:hAnsiTheme="majorHAnsi" w:cstheme="majorHAnsi"/>
            <w:color w:val="1155CC"/>
            <w:u w:val="single"/>
          </w:rPr>
          <w:t>Brasseurs des Cantons</w:t>
        </w:r>
      </w:hyperlink>
      <w:r w:rsidRPr="0032789B">
        <w:rPr>
          <w:rFonts w:eastAsia="Calibri" w:asciiTheme="majorHAnsi" w:hAnsiTheme="majorHAnsi" w:cstheme="majorHAnsi"/>
        </w:rPr>
        <w:t xml:space="preserve"> permet aux visiteurs de découvrir l’effervescence et la diversité de l’offre brassicole dans la région avec plus d’une trentaine de microbrasseries réparties aux quatre coins des Cantons. </w:t>
      </w:r>
    </w:p>
    <w:p w:rsidRPr="0032789B" w:rsidR="00AE1DB4" w:rsidRDefault="00AE1DB4" w14:paraId="5BA58ED2" w14:textId="77777777">
      <w:pPr>
        <w:jc w:val="both"/>
        <w:rPr>
          <w:rFonts w:eastAsia="Calibri" w:asciiTheme="majorHAnsi" w:hAnsiTheme="majorHAnsi" w:cstheme="majorHAnsi"/>
        </w:rPr>
      </w:pPr>
    </w:p>
    <w:p w:rsidRPr="0032789B" w:rsidR="00AE1DB4" w:rsidP="01619E37" w:rsidRDefault="00AE1DB4" w14:paraId="2AB506F0" w14:textId="3D3054DE">
      <w:pPr>
        <w:jc w:val="both"/>
        <w:rPr>
          <w:rFonts w:ascii="Calibri" w:hAnsi="Calibri" w:eastAsia="Calibri" w:cs="Calibri" w:asciiTheme="majorAscii" w:hAnsiTheme="majorAscii" w:cstheme="majorAscii"/>
          <w:highlight w:val="yellow"/>
        </w:rPr>
      </w:pPr>
      <w:r w:rsidRPr="01619E37" w:rsidR="01619E37">
        <w:rPr>
          <w:rFonts w:ascii="Calibri" w:hAnsi="Calibri" w:eastAsia="Calibri" w:cs="Calibri" w:asciiTheme="majorAscii" w:hAnsiTheme="majorAscii" w:cstheme="majorAscii"/>
        </w:rPr>
        <w:t xml:space="preserve">Pour assurer une récupération optimale, puisque le repos est aussi important que le mouvement, </w:t>
      </w:r>
      <w:hyperlink r:id="R18371e432d0e4306">
        <w:r w:rsidRPr="01619E37" w:rsidR="01619E37">
          <w:rPr>
            <w:rFonts w:ascii="Calibri" w:hAnsi="Calibri" w:eastAsia="Calibri" w:cs="Calibri" w:asciiTheme="majorAscii" w:hAnsiTheme="majorAscii" w:cstheme="majorAscii"/>
            <w:color w:val="1155CC"/>
            <w:u w:val="single"/>
          </w:rPr>
          <w:t>un arrêt détente</w:t>
        </w:r>
      </w:hyperlink>
      <w:r w:rsidRPr="01619E37" w:rsidR="01619E37">
        <w:rPr>
          <w:rFonts w:ascii="Calibri" w:hAnsi="Calibri" w:eastAsia="Calibri" w:cs="Calibri" w:asciiTheme="majorAscii" w:hAnsiTheme="majorAscii" w:cstheme="majorAscii"/>
        </w:rPr>
        <w:t xml:space="preserve"> </w:t>
      </w:r>
      <w:proofErr w:type="gramStart"/>
      <w:r w:rsidRPr="01619E37" w:rsidR="01619E37">
        <w:rPr>
          <w:rFonts w:ascii="Calibri" w:hAnsi="Calibri" w:eastAsia="Calibri" w:cs="Calibri" w:asciiTheme="majorAscii" w:hAnsiTheme="majorAscii" w:cstheme="majorAscii"/>
        </w:rPr>
        <w:t>dans</w:t>
      </w:r>
      <w:proofErr w:type="gramEnd"/>
      <w:r w:rsidRPr="01619E37" w:rsidR="01619E37">
        <w:rPr>
          <w:rFonts w:ascii="Calibri" w:hAnsi="Calibri" w:eastAsia="Calibri" w:cs="Calibri" w:asciiTheme="majorAscii" w:hAnsiTheme="majorAscii" w:cstheme="majorAscii"/>
        </w:rPr>
        <w:t xml:space="preserve"> l’un des spas nordiques des </w:t>
      </w:r>
      <w:proofErr w:type="spellStart"/>
      <w:r w:rsidRPr="01619E37" w:rsidR="01619E37">
        <w:rPr>
          <w:rFonts w:ascii="Calibri" w:hAnsi="Calibri" w:eastAsia="Calibri" w:cs="Calibri" w:asciiTheme="majorAscii" w:hAnsiTheme="majorAscii" w:cstheme="majorAscii"/>
        </w:rPr>
        <w:t>Cantons-de-l’Est</w:t>
      </w:r>
      <w:proofErr w:type="spellEnd"/>
      <w:r w:rsidRPr="01619E37" w:rsidR="01619E37">
        <w:rPr>
          <w:rFonts w:ascii="Calibri" w:hAnsi="Calibri" w:eastAsia="Calibri" w:cs="Calibri" w:asciiTheme="majorAscii" w:hAnsiTheme="majorAscii" w:cstheme="majorAscii"/>
        </w:rPr>
        <w:t xml:space="preserve"> bonifie certainement le séjour golf, puis rien de mieux qu’une bonne nuit de sommeil dans l’un des </w:t>
      </w:r>
      <w:hyperlink r:id="R89f070af6f6446f6">
        <w:r w:rsidRPr="01619E37" w:rsidR="01619E37">
          <w:rPr>
            <w:rFonts w:ascii="Calibri" w:hAnsi="Calibri" w:eastAsia="Calibri" w:cs="Calibri" w:asciiTheme="majorAscii" w:hAnsiTheme="majorAscii" w:cstheme="majorAscii"/>
            <w:color w:val="1155CC"/>
            <w:u w:val="single"/>
          </w:rPr>
          <w:t>nombreux hébergements</w:t>
        </w:r>
      </w:hyperlink>
      <w:r w:rsidRPr="01619E37" w:rsidR="01619E37">
        <w:rPr>
          <w:rFonts w:ascii="Calibri" w:hAnsi="Calibri" w:eastAsia="Calibri" w:cs="Calibri" w:asciiTheme="majorAscii" w:hAnsiTheme="majorAscii" w:cstheme="majorAscii"/>
        </w:rPr>
        <w:t xml:space="preserve"> </w:t>
      </w:r>
      <w:proofErr w:type="gramStart"/>
      <w:r w:rsidRPr="01619E37" w:rsidR="01619E37">
        <w:rPr>
          <w:rFonts w:ascii="Calibri" w:hAnsi="Calibri" w:eastAsia="Calibri" w:cs="Calibri" w:asciiTheme="majorAscii" w:hAnsiTheme="majorAscii" w:cstheme="majorAscii"/>
        </w:rPr>
        <w:t>de</w:t>
      </w:r>
      <w:proofErr w:type="gramEnd"/>
      <w:r w:rsidRPr="01619E37" w:rsidR="01619E37">
        <w:rPr>
          <w:rFonts w:ascii="Calibri" w:hAnsi="Calibri" w:eastAsia="Calibri" w:cs="Calibri" w:asciiTheme="majorAscii" w:hAnsiTheme="majorAscii" w:cstheme="majorAscii"/>
        </w:rPr>
        <w:t xml:space="preserve"> la région. </w:t>
      </w:r>
    </w:p>
    <w:p w:rsidR="04BC4174" w:rsidP="04BC4174" w:rsidRDefault="04BC4174" w14:paraId="0BF43D19" w14:textId="714C0E48">
      <w:pPr>
        <w:pStyle w:val="Normal"/>
        <w:jc w:val="both"/>
        <w:rPr>
          <w:rFonts w:ascii="Calibri" w:hAnsi="Calibri" w:eastAsia="Calibri" w:cs="Calibri" w:asciiTheme="majorAscii" w:hAnsiTheme="majorAscii" w:cstheme="majorAscii"/>
        </w:rPr>
      </w:pPr>
    </w:p>
    <w:p w:rsidR="01619E37" w:rsidP="01619E37" w:rsidRDefault="01619E37" w14:paraId="169FA102" w14:textId="4E9E711A">
      <w:pPr>
        <w:pStyle w:val="Normal"/>
        <w:jc w:val="both"/>
        <w:rPr>
          <w:rFonts w:ascii="Calibri" w:hAnsi="Calibri" w:eastAsia="Calibri" w:cs="Calibri" w:asciiTheme="majorAscii" w:hAnsiTheme="majorAscii" w:cstheme="majorAscii"/>
        </w:rPr>
      </w:pPr>
    </w:p>
    <w:p w:rsidRPr="0032789B" w:rsidR="00AE1DB4" w:rsidP="5CB041AF" w:rsidRDefault="00000000" w14:paraId="7DD7F1D6" w14:textId="277978B8">
      <w:pPr>
        <w:jc w:val="center"/>
        <w:rPr>
          <w:rFonts w:ascii="Calibri" w:hAnsi="Calibri" w:cs="Calibri" w:asciiTheme="majorAscii" w:hAnsiTheme="majorAscii" w:cstheme="majorAscii"/>
          <w:b w:val="1"/>
          <w:bCs w:val="1"/>
          <w:sz w:val="26"/>
          <w:szCs w:val="26"/>
          <w:u w:val="single"/>
        </w:rPr>
      </w:pPr>
      <w:r w:rsidRPr="5CB041AF" w:rsidR="5CB041AF">
        <w:rPr>
          <w:rFonts w:ascii="Calibri" w:hAnsi="Calibri" w:eastAsia="Calibri" w:cs="Calibri" w:asciiTheme="majorAscii" w:hAnsiTheme="majorAscii" w:cstheme="majorAscii"/>
          <w:b w:val="1"/>
          <w:bCs w:val="1"/>
          <w:sz w:val="26"/>
          <w:szCs w:val="26"/>
        </w:rPr>
        <w:t xml:space="preserve">Pour tout connaître sur les terrains de golf des </w:t>
      </w:r>
      <w:proofErr w:type="spellStart"/>
      <w:r w:rsidRPr="5CB041AF" w:rsidR="5CB041AF">
        <w:rPr>
          <w:rFonts w:ascii="Calibri" w:hAnsi="Calibri" w:eastAsia="Calibri" w:cs="Calibri" w:asciiTheme="majorAscii" w:hAnsiTheme="majorAscii" w:cstheme="majorAscii"/>
          <w:b w:val="1"/>
          <w:bCs w:val="1"/>
          <w:sz w:val="26"/>
          <w:szCs w:val="26"/>
        </w:rPr>
        <w:t>Cantons-de-l’Est</w:t>
      </w:r>
      <w:proofErr w:type="spellEnd"/>
      <w:r w:rsidRPr="5CB041AF" w:rsidR="5CB041AF">
        <w:rPr>
          <w:rFonts w:ascii="Calibri" w:hAnsi="Calibri" w:eastAsia="Calibri" w:cs="Calibri" w:asciiTheme="majorAscii" w:hAnsiTheme="majorAscii" w:cstheme="majorAscii"/>
          <w:b w:val="1"/>
          <w:bCs w:val="1"/>
          <w:sz w:val="26"/>
          <w:szCs w:val="26"/>
        </w:rPr>
        <w:t xml:space="preserve"> ainsi que leur offre, visitez notre </w:t>
      </w:r>
      <w:hyperlink r:id="R2a58a9d27cbf4cab">
        <w:r w:rsidRPr="5CB041AF" w:rsidR="5CB041AF">
          <w:rPr>
            <w:rFonts w:ascii="Calibri" w:hAnsi="Calibri" w:eastAsia="Calibri" w:cs="Calibri" w:asciiTheme="majorAscii" w:hAnsiTheme="majorAscii" w:cstheme="majorAscii"/>
            <w:b w:val="1"/>
            <w:bCs w:val="1"/>
            <w:color w:val="1155CC"/>
            <w:sz w:val="26"/>
            <w:szCs w:val="26"/>
            <w:u w:val="single"/>
          </w:rPr>
          <w:t>site Web</w:t>
        </w:r>
      </w:hyperlink>
      <w:r w:rsidRPr="5CB041AF" w:rsidR="5CB041AF">
        <w:rPr>
          <w:rFonts w:ascii="Calibri" w:hAnsi="Calibri" w:eastAsia="Calibri" w:cs="Calibri" w:asciiTheme="majorAscii" w:hAnsiTheme="majorAscii" w:cstheme="majorAscii"/>
          <w:b w:val="1"/>
          <w:bCs w:val="1"/>
          <w:sz w:val="26"/>
          <w:szCs w:val="26"/>
        </w:rPr>
        <w:t>.</w:t>
      </w:r>
    </w:p>
    <w:p w:rsidR="00AE1DB4" w:rsidRDefault="00AE1DB4" w14:paraId="348427C4" w14:textId="77777777">
      <w:pPr>
        <w:rPr>
          <w:sz w:val="18"/>
          <w:szCs w:val="18"/>
          <w:u w:val="single"/>
        </w:rPr>
      </w:pPr>
    </w:p>
    <w:p w:rsidR="01619E37" w:rsidP="01619E37" w:rsidRDefault="01619E37" w14:paraId="16DE4992" w14:textId="7D4E613D">
      <w:pPr>
        <w:pStyle w:val="Normal"/>
        <w:rPr>
          <w:sz w:val="18"/>
          <w:szCs w:val="18"/>
          <w:u w:val="single"/>
        </w:rPr>
      </w:pPr>
    </w:p>
    <w:p w:rsidR="01619E37" w:rsidP="01619E37" w:rsidRDefault="01619E37" w14:paraId="54521C88" w14:textId="173FE6F9">
      <w:pPr>
        <w:pStyle w:val="Normal"/>
        <w:rPr>
          <w:sz w:val="18"/>
          <w:szCs w:val="18"/>
          <w:u w:val="single"/>
        </w:rPr>
      </w:pPr>
    </w:p>
    <w:p w:rsidRPr="0032789B" w:rsidR="00AE1DB4" w:rsidRDefault="00000000" w14:paraId="4CF64ACA" w14:textId="77777777">
      <w:pPr>
        <w:spacing w:after="160" w:line="259" w:lineRule="auto"/>
        <w:rPr>
          <w:rFonts w:eastAsia="Calibri" w:asciiTheme="majorHAnsi" w:hAnsiTheme="majorHAnsi" w:cstheme="majorHAnsi"/>
          <w:sz w:val="18"/>
          <w:szCs w:val="18"/>
        </w:rPr>
      </w:pPr>
      <w:r w:rsidRPr="0032789B">
        <w:rPr>
          <w:rFonts w:eastAsia="Calibri" w:asciiTheme="majorHAnsi" w:hAnsiTheme="majorHAnsi" w:cstheme="majorHAnsi"/>
          <w:b/>
          <w:sz w:val="18"/>
          <w:szCs w:val="18"/>
        </w:rPr>
        <w:t>À propos de Tourisme Cantons-de-l’Est</w:t>
      </w:r>
    </w:p>
    <w:p w:rsidRPr="0032789B" w:rsidR="00AE1DB4" w:rsidRDefault="00000000" w14:paraId="1FA01741" w14:textId="77777777">
      <w:pPr>
        <w:shd w:val="clear" w:color="auto" w:fill="FFFFFF"/>
        <w:spacing w:after="160" w:line="259" w:lineRule="auto"/>
        <w:jc w:val="both"/>
        <w:rPr>
          <w:rFonts w:eastAsia="Calibri" w:asciiTheme="majorHAnsi" w:hAnsiTheme="majorHAnsi" w:cstheme="majorHAnsi"/>
          <w:sz w:val="18"/>
          <w:szCs w:val="18"/>
        </w:rPr>
      </w:pPr>
      <w:r w:rsidRPr="0032789B">
        <w:rPr>
          <w:rFonts w:eastAsia="Calibri" w:asciiTheme="majorHAnsi" w:hAnsiTheme="majorHAnsi" w:cstheme="majorHAnsi"/>
          <w:sz w:val="18"/>
          <w:szCs w:val="18"/>
        </w:rPr>
        <w:t xml:space="preserve">Tourisme Cantons-de-l’Est est l’une des 21 associations touristiques régionales (ATR) du Québec et mandataire officielle du ministère du Tourisme dans la région. Depuis 1978, Tourisme Cantons-de-l’Est a pour mission de favoriser le développement touristique de la région, promouvoir, concerter, soutenir, et représenter l’ensemble du secteur touristique, tout en mettant l’accent sur la qualité de l’expérience-visiteur. L’ATR regroupe quelques 600 membres et près de 1 000 offres répartis dans les 9 MRC et dans l’ensemble des secteurs de l’industrie touristique : hébergement, restauration, attraits, activités et événements. </w:t>
      </w:r>
    </w:p>
    <w:p w:rsidRPr="0032789B" w:rsidR="00AE1DB4" w:rsidRDefault="00000000" w14:paraId="5BA8D35B" w14:textId="77777777">
      <w:pPr>
        <w:shd w:val="clear" w:color="auto" w:fill="FFFFFF"/>
        <w:spacing w:line="259" w:lineRule="auto"/>
        <w:jc w:val="both"/>
        <w:rPr>
          <w:rFonts w:eastAsia="Calibri" w:asciiTheme="majorHAnsi" w:hAnsiTheme="majorHAnsi" w:cstheme="majorHAnsi"/>
          <w:b/>
          <w:sz w:val="18"/>
          <w:szCs w:val="18"/>
        </w:rPr>
      </w:pPr>
      <w:r w:rsidRPr="0032789B">
        <w:rPr>
          <w:rFonts w:eastAsia="Calibri" w:asciiTheme="majorHAnsi" w:hAnsiTheme="majorHAnsi" w:cstheme="majorHAnsi"/>
          <w:sz w:val="18"/>
          <w:szCs w:val="18"/>
        </w:rPr>
        <w:lastRenderedPageBreak/>
        <w:t>Les Cantons-de-l’Est occupent le quatrième rang des régions les plus visitées au Québec avec des volumes ayant atteint 10 millions de visiteurs annuellement, engendrant 6,5 millions de nuitées et dépensant plus de 900 M$ par année. Le tourisme dans la région génère plus de 20 000 emplois, plaçant les Cantons-de-l’Est au 5</w:t>
      </w:r>
      <w:r w:rsidRPr="0032789B">
        <w:rPr>
          <w:rFonts w:eastAsia="Calibri" w:asciiTheme="majorHAnsi" w:hAnsiTheme="majorHAnsi" w:cstheme="majorHAnsi"/>
          <w:sz w:val="18"/>
          <w:szCs w:val="18"/>
          <w:vertAlign w:val="superscript"/>
        </w:rPr>
        <w:t>e </w:t>
      </w:r>
      <w:r w:rsidRPr="0032789B">
        <w:rPr>
          <w:rFonts w:eastAsia="Calibri" w:asciiTheme="majorHAnsi" w:hAnsiTheme="majorHAnsi" w:cstheme="majorHAnsi"/>
          <w:sz w:val="18"/>
          <w:szCs w:val="18"/>
        </w:rPr>
        <w:t xml:space="preserve">rang pour le nombre le plus élevé d’emplois en tourisme parmi l’ensemble des régions touristiques.  </w:t>
      </w:r>
    </w:p>
    <w:p w:rsidRPr="0032789B" w:rsidR="00AE1DB4" w:rsidRDefault="00AE1DB4" w14:paraId="76C1337B" w14:textId="77777777">
      <w:pPr>
        <w:shd w:val="clear" w:color="auto" w:fill="FFFFFF"/>
        <w:spacing w:after="160" w:line="259" w:lineRule="auto"/>
        <w:jc w:val="center"/>
        <w:rPr>
          <w:rFonts w:eastAsia="Calibri" w:asciiTheme="majorHAnsi" w:hAnsiTheme="majorHAnsi" w:cstheme="majorHAnsi"/>
          <w:sz w:val="18"/>
          <w:szCs w:val="18"/>
        </w:rPr>
      </w:pPr>
    </w:p>
    <w:p w:rsidRPr="0032789B" w:rsidR="00AE1DB4" w:rsidRDefault="00000000" w14:paraId="6CE0E553" w14:textId="77777777">
      <w:pPr>
        <w:shd w:val="clear" w:color="auto" w:fill="FFFFFF"/>
        <w:spacing w:after="160" w:line="259" w:lineRule="auto"/>
        <w:jc w:val="center"/>
        <w:rPr>
          <w:rFonts w:eastAsia="Calibri" w:asciiTheme="majorHAnsi" w:hAnsiTheme="majorHAnsi" w:cstheme="majorHAnsi"/>
          <w:sz w:val="18"/>
          <w:szCs w:val="18"/>
        </w:rPr>
      </w:pPr>
      <w:r w:rsidRPr="0032789B">
        <w:rPr>
          <w:rFonts w:eastAsia="Calibri" w:asciiTheme="majorHAnsi" w:hAnsiTheme="majorHAnsi" w:cstheme="majorHAnsi"/>
          <w:sz w:val="18"/>
          <w:szCs w:val="18"/>
        </w:rPr>
        <w:t>– 30 —</w:t>
      </w:r>
    </w:p>
    <w:p w:rsidRPr="0032789B" w:rsidR="00AE1DB4" w:rsidRDefault="00000000" w14:paraId="0ACA93DF" w14:textId="77777777">
      <w:pPr>
        <w:tabs>
          <w:tab w:val="left" w:pos="1134"/>
        </w:tabs>
        <w:spacing w:after="160" w:line="259" w:lineRule="auto"/>
        <w:ind w:firstLine="2"/>
        <w:rPr>
          <w:rFonts w:eastAsia="Calibri" w:asciiTheme="majorHAnsi" w:hAnsiTheme="majorHAnsi" w:cstheme="majorHAnsi"/>
          <w:sz w:val="18"/>
          <w:szCs w:val="18"/>
        </w:rPr>
      </w:pPr>
      <w:r w:rsidRPr="0032789B">
        <w:rPr>
          <w:rFonts w:eastAsia="Calibri" w:asciiTheme="majorHAnsi" w:hAnsiTheme="majorHAnsi" w:cstheme="majorHAnsi"/>
          <w:b/>
          <w:sz w:val="18"/>
          <w:szCs w:val="18"/>
        </w:rPr>
        <w:t xml:space="preserve">Source :   </w:t>
      </w:r>
      <w:r w:rsidRPr="0032789B">
        <w:rPr>
          <w:rFonts w:eastAsia="Calibri" w:asciiTheme="majorHAnsi" w:hAnsiTheme="majorHAnsi" w:cstheme="majorHAnsi"/>
          <w:sz w:val="18"/>
          <w:szCs w:val="18"/>
        </w:rPr>
        <w:t xml:space="preserve">Shanny Hallé </w:t>
      </w:r>
    </w:p>
    <w:p w:rsidR="00D63537" w:rsidRDefault="00000000" w14:paraId="3FC84E08" w14:textId="77777777">
      <w:pPr>
        <w:tabs>
          <w:tab w:val="left" w:pos="1134"/>
        </w:tabs>
        <w:spacing w:after="160" w:line="259" w:lineRule="auto"/>
        <w:ind w:left="708"/>
        <w:rPr>
          <w:rFonts w:eastAsia="Calibri" w:asciiTheme="majorHAnsi" w:hAnsiTheme="majorHAnsi" w:cstheme="majorHAnsi"/>
          <w:sz w:val="18"/>
          <w:szCs w:val="18"/>
        </w:rPr>
      </w:pPr>
      <w:r w:rsidRPr="0032789B">
        <w:rPr>
          <w:rFonts w:eastAsia="Calibri" w:asciiTheme="majorHAnsi" w:hAnsiTheme="majorHAnsi" w:cstheme="majorHAnsi"/>
          <w:sz w:val="18"/>
          <w:szCs w:val="18"/>
        </w:rPr>
        <w:t xml:space="preserve">Coordonnatrice aux relations de presse </w:t>
      </w:r>
    </w:p>
    <w:p w:rsidRPr="0032789B" w:rsidR="00AE1DB4" w:rsidRDefault="00000000" w14:paraId="18978916" w14:textId="74461609">
      <w:pPr>
        <w:tabs>
          <w:tab w:val="left" w:pos="1134"/>
        </w:tabs>
        <w:spacing w:after="160" w:line="259" w:lineRule="auto"/>
        <w:ind w:left="708"/>
        <w:rPr>
          <w:rFonts w:eastAsia="Calibri" w:asciiTheme="majorHAnsi" w:hAnsiTheme="majorHAnsi" w:cstheme="majorHAnsi"/>
          <w:sz w:val="18"/>
          <w:szCs w:val="18"/>
        </w:rPr>
      </w:pPr>
      <w:r w:rsidRPr="0032789B">
        <w:rPr>
          <w:rFonts w:eastAsia="Calibri" w:asciiTheme="majorHAnsi" w:hAnsiTheme="majorHAnsi" w:cstheme="majorHAnsi"/>
          <w:sz w:val="18"/>
          <w:szCs w:val="18"/>
        </w:rPr>
        <w:t xml:space="preserve">Tourisme Cantons-de-l’Est </w:t>
      </w:r>
    </w:p>
    <w:p w:rsidRPr="0032789B" w:rsidR="00AE1DB4" w:rsidRDefault="00000000" w14:paraId="0872D7E1" w14:textId="77777777">
      <w:pPr>
        <w:tabs>
          <w:tab w:val="left" w:pos="1134"/>
        </w:tabs>
        <w:spacing w:after="160" w:line="259" w:lineRule="auto"/>
        <w:ind w:firstLine="708"/>
        <w:rPr>
          <w:rFonts w:asciiTheme="majorHAnsi" w:hAnsiTheme="majorHAnsi" w:cstheme="majorHAnsi"/>
          <w:sz w:val="18"/>
          <w:szCs w:val="18"/>
          <w:u w:val="single"/>
        </w:rPr>
      </w:pPr>
      <w:r w:rsidRPr="0032789B">
        <w:rPr>
          <w:rFonts w:eastAsia="Calibri" w:asciiTheme="majorHAnsi" w:hAnsiTheme="majorHAnsi" w:cstheme="majorHAnsi"/>
          <w:sz w:val="18"/>
          <w:szCs w:val="18"/>
        </w:rPr>
        <w:t xml:space="preserve">Cellulaire : 819 821-1220 | Courriel : </w:t>
      </w:r>
      <w:hyperlink r:id="rId19">
        <w:r w:rsidRPr="0032789B">
          <w:rPr>
            <w:rFonts w:eastAsia="Calibri" w:asciiTheme="majorHAnsi" w:hAnsiTheme="majorHAnsi" w:cstheme="majorHAnsi"/>
            <w:color w:val="0563C1"/>
            <w:sz w:val="18"/>
            <w:szCs w:val="18"/>
            <w:u w:val="single"/>
          </w:rPr>
          <w:t>shalle@atrce.com</w:t>
        </w:r>
      </w:hyperlink>
    </w:p>
    <w:sectPr w:rsidRPr="0032789B" w:rsidR="00AE1DB4">
      <w:headerReference w:type="default" r:id="rId20"/>
      <w:headerReference w:type="first" r:id="rId21"/>
      <w:footerReference w:type="first" r:id="rId22"/>
      <w:pgSz w:w="12240" w:h="15840" w:orient="portrait"/>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7DF2" w:rsidRDefault="000D7DF2" w14:paraId="1522B5AC" w14:textId="77777777">
      <w:pPr>
        <w:spacing w:line="240" w:lineRule="auto"/>
      </w:pPr>
      <w:r>
        <w:separator/>
      </w:r>
    </w:p>
  </w:endnote>
  <w:endnote w:type="continuationSeparator" w:id="0">
    <w:p w:rsidR="000D7DF2" w:rsidRDefault="000D7DF2" w14:paraId="7061C84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1DB4" w:rsidRDefault="00AE1DB4" w14:paraId="481DED2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7DF2" w:rsidRDefault="000D7DF2" w14:paraId="03BF836E" w14:textId="77777777">
      <w:pPr>
        <w:spacing w:line="240" w:lineRule="auto"/>
      </w:pPr>
      <w:r>
        <w:separator/>
      </w:r>
    </w:p>
  </w:footnote>
  <w:footnote w:type="continuationSeparator" w:id="0">
    <w:p w:rsidR="000D7DF2" w:rsidRDefault="000D7DF2" w14:paraId="59AA20A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1DB4" w:rsidRDefault="00AE1DB4" w14:paraId="6307AC2A" w14:textId="7777777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E1DB4" w:rsidRDefault="00000000" w14:paraId="08A1A0F4" w14:textId="77777777">
    <w:pPr>
      <w:spacing w:after="160" w:line="259" w:lineRule="auto"/>
    </w:pPr>
    <w:r>
      <w:rPr>
        <w:rFonts w:ascii="Calibri" w:hAnsi="Calibri" w:eastAsia="Calibri" w:cs="Calibri"/>
        <w:noProof/>
      </w:rPr>
      <w:drawing>
        <wp:inline distT="0" distB="0" distL="114300" distR="114300" wp14:anchorId="278E62FB" wp14:editId="1C77FAD9">
          <wp:extent cx="1905000" cy="400050"/>
          <wp:effectExtent l="0" t="0" r="0" b="0"/>
          <wp:docPr id="1" name="image1.png" descr="Une image contenant texte, Police, capture d’écran,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capture d’écran, noir&#10;&#10;Description générée automatiquement"/>
                  <pic:cNvPicPr preferRelativeResize="0"/>
                </pic:nvPicPr>
                <pic:blipFill>
                  <a:blip r:embed="rId1"/>
                  <a:srcRect/>
                  <a:stretch>
                    <a:fillRect/>
                  </a:stretch>
                </pic:blipFill>
                <pic:spPr>
                  <a:xfrm>
                    <a:off x="0" y="0"/>
                    <a:ext cx="1905000" cy="400050"/>
                  </a:xfrm>
                  <a:prstGeom prst="rect">
                    <a:avLst/>
                  </a:prstGeom>
                  <a:ln/>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B4"/>
    <w:rsid w:val="000D7DF2"/>
    <w:rsid w:val="0032789B"/>
    <w:rsid w:val="007336C6"/>
    <w:rsid w:val="00AE1DB4"/>
    <w:rsid w:val="00D63537"/>
    <w:rsid w:val="01619E37"/>
    <w:rsid w:val="04BC4174"/>
    <w:rsid w:val="5CB041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E8F3"/>
  <w15:docId w15:val="{0B8CE62F-571A-4195-8999-5BE33F37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32789B"/>
    <w:rPr>
      <w:color w:val="0000FF" w:themeColor="hyperlink"/>
      <w:u w:val="single"/>
    </w:rPr>
  </w:style>
  <w:style w:type="character" w:styleId="Mentionnonrsolue">
    <w:name w:val="Unresolved Mention"/>
    <w:basedOn w:val="Policepardfaut"/>
    <w:uiPriority w:val="99"/>
    <w:semiHidden/>
    <w:unhideWhenUsed/>
    <w:rsid w:val="0032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cantonsdelest.com/restaurants/145/bistro-kapzak" TargetMode="External" Id="rId13" /><Relationship Type="http://schemas.openxmlformats.org/officeDocument/2006/relationships/webSettings" Target="webSettings.xml" Id="rId3" /><Relationship Type="http://schemas.openxmlformats.org/officeDocument/2006/relationships/header" Target="header2.xml" Id="rId21" /><Relationship Type="http://schemas.openxmlformats.org/officeDocument/2006/relationships/hyperlink" Target="https://www.cantonsdelest.com/restaurants/125/restaurant-auguste" TargetMode="External" Id="rId12" /><Relationship Type="http://schemas.openxmlformats.org/officeDocument/2006/relationships/settings" Target="settings.xml" Id="rId2" /><Relationship Type="http://schemas.openxmlformats.org/officeDocument/2006/relationships/header" Target="header1.xml" Id="rId20" /><Relationship Type="http://schemas.openxmlformats.org/officeDocument/2006/relationships/styles" Target="styles.xml" Id="rId1" /><Relationship Type="http://schemas.openxmlformats.org/officeDocument/2006/relationships/hyperlink" Target="https://www.cantonsdelest.com/restaurants/106/bistro-4-saisons" TargetMode="External" Id="rId11" /><Relationship Type="http://schemas.openxmlformats.org/officeDocument/2006/relationships/theme" Target="theme/theme1.xml" Id="rId24" /><Relationship Type="http://schemas.openxmlformats.org/officeDocument/2006/relationships/endnotes" Target="endnotes.xml" Id="rId5" /><Relationship Type="http://schemas.openxmlformats.org/officeDocument/2006/relationships/hyperlink" Target="https://www.cantonsdelest.com/routes-touristiques/32/brasseurs-des-cantons" TargetMode="External" Id="rId15" /><Relationship Type="http://schemas.openxmlformats.org/officeDocument/2006/relationships/fontTable" Target="fontTable.xml" Id="rId23" /><Relationship Type="http://schemas.openxmlformats.org/officeDocument/2006/relationships/hyperlink" Target="mailto:shalle@atrce.com" TargetMode="External" Id="rId19" /><Relationship Type="http://schemas.openxmlformats.org/officeDocument/2006/relationships/footnotes" Target="footnotes.xml" Id="rId4" /><Relationship Type="http://schemas.openxmlformats.org/officeDocument/2006/relationships/hyperlink" Target="https://www.cantonsdelest.com/routes-touristiques/3/route-des-vins-brome-missisquoi" TargetMode="External" Id="rId14" /><Relationship Type="http://schemas.openxmlformats.org/officeDocument/2006/relationships/footer" Target="footer1.xml" Id="rId22" /><Relationship Type="http://schemas.microsoft.com/office/2011/relationships/people" Target="people.xml" Id="Ra4e19c248bf64bc3" /><Relationship Type="http://schemas.microsoft.com/office/2011/relationships/commentsExtended" Target="commentsExtended.xml" Id="R78181573ab9c4d70" /><Relationship Type="http://schemas.microsoft.com/office/2016/09/relationships/commentsIds" Target="commentsIds.xml" Id="Rc8f2252d072447b0" /><Relationship Type="http://schemas.openxmlformats.org/officeDocument/2006/relationships/hyperlink" Target="https://www.cantonsdelest.com/tag/149/golf" TargetMode="External" Id="R2a58a9d27cbf4cab" /><Relationship Type="http://schemas.openxmlformats.org/officeDocument/2006/relationships/hyperlink" Target="https://www.pgatour.com/americas" TargetMode="External" Id="Rcb2a3f5d820745be" /><Relationship Type="http://schemas.openxmlformats.org/officeDocument/2006/relationships/hyperlink" Target="https://bromontopen.com/" TargetMode="External" Id="R583ce982eb384060" /><Relationship Type="http://schemas.openxmlformats.org/officeDocument/2006/relationships/hyperlink" Target="https://www.cantonsdelest.com/quoi-faire/434/golf-chateau-bromont" TargetMode="External" Id="Rc2619b45f13b42ec" /><Relationship Type="http://schemas.openxmlformats.org/officeDocument/2006/relationships/hyperlink" Target="https://www.cantonsdelest.com/quoi-faire/189/club-de-golf-le-parcours-du-vieux-village" TargetMode="External" Id="R6bae32d996a5430e" /><Relationship Type="http://schemas.openxmlformats.org/officeDocument/2006/relationships/hyperlink" Target="https://www.cantonsdelest.com/tag/219/spas-et-detente" TargetMode="External" Id="R18371e432d0e4306" /><Relationship Type="http://schemas.openxmlformats.org/officeDocument/2006/relationships/hyperlink" Target="https://www.cantonsdelest.com/ou-dormir" TargetMode="External" Id="R89f070af6f6446f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Shanny Hallé</dc:creator>
  <lastModifiedBy>Shanny Halle</lastModifiedBy>
  <revision>5</revision>
  <dcterms:created xsi:type="dcterms:W3CDTF">2024-07-09T13:47:00.0000000Z</dcterms:created>
  <dcterms:modified xsi:type="dcterms:W3CDTF">2024-07-10T12:48:43.3411041Z</dcterms:modified>
</coreProperties>
</file>